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8BA06" w14:textId="4C41169A" w:rsidR="00E828C2" w:rsidRPr="0049015F" w:rsidRDefault="00404E05" w:rsidP="00E21E03">
      <w:pPr>
        <w:rPr>
          <w:rFonts w:ascii="Trebuchet MS" w:hAnsi="Trebuchet MS"/>
          <w:b/>
          <w:bCs/>
          <w:color w:val="4472C4"/>
          <w:sz w:val="24"/>
          <w:szCs w:val="24"/>
          <w:lang w:val="es-PY"/>
        </w:rPr>
      </w:pPr>
      <w:r w:rsidRPr="00B40612">
        <w:rPr>
          <w:noProof/>
          <w:lang w:val="en-US" w:eastAsia="en-US"/>
        </w:rPr>
        <w:drawing>
          <wp:anchor distT="0" distB="0" distL="114300" distR="114300" simplePos="0" relativeHeight="251658240" behindDoc="0" locked="0" layoutInCell="1" allowOverlap="1" wp14:anchorId="5D6150D0" wp14:editId="39656054">
            <wp:simplePos x="0" y="0"/>
            <wp:positionH relativeFrom="column">
              <wp:posOffset>-542925</wp:posOffset>
            </wp:positionH>
            <wp:positionV relativeFrom="paragraph">
              <wp:posOffset>-1448435</wp:posOffset>
            </wp:positionV>
            <wp:extent cx="2000250" cy="200025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00250" cy="200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0612" w:rsidRPr="00B40612">
        <w:rPr>
          <w:noProof/>
          <w:lang w:val="en-US" w:eastAsia="en-US"/>
        </w:rPr>
        <mc:AlternateContent>
          <mc:Choice Requires="wps">
            <w:drawing>
              <wp:anchor distT="45720" distB="45720" distL="114300" distR="114300" simplePos="0" relativeHeight="251657216" behindDoc="0" locked="0" layoutInCell="1" allowOverlap="1" wp14:anchorId="796636AB" wp14:editId="13BAB137">
                <wp:simplePos x="0" y="0"/>
                <wp:positionH relativeFrom="margin">
                  <wp:posOffset>1508760</wp:posOffset>
                </wp:positionH>
                <wp:positionV relativeFrom="paragraph">
                  <wp:posOffset>3175</wp:posOffset>
                </wp:positionV>
                <wp:extent cx="4867275" cy="487680"/>
                <wp:effectExtent l="0" t="0" r="9525" b="76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487680"/>
                        </a:xfrm>
                        <a:prstGeom prst="rect">
                          <a:avLst/>
                        </a:prstGeom>
                        <a:solidFill>
                          <a:srgbClr val="FFFFFF"/>
                        </a:solidFill>
                        <a:ln w="9525">
                          <a:noFill/>
                          <a:miter lim="800000"/>
                          <a:headEnd/>
                          <a:tailEnd/>
                        </a:ln>
                      </wps:spPr>
                      <wps:txbx>
                        <w:txbxContent>
                          <w:p w14:paraId="01A1DEEA" w14:textId="77777777" w:rsidR="00E23991" w:rsidRPr="00A7383D" w:rsidRDefault="00B56DBC" w:rsidP="00353CCD">
                            <w:pPr>
                              <w:spacing w:line="276" w:lineRule="auto"/>
                              <w:rPr>
                                <w:rFonts w:ascii="Trebuchet MS" w:hAnsi="Trebuchet MS"/>
                                <w:i/>
                                <w:color w:val="262626"/>
                                <w:sz w:val="18"/>
                                <w:szCs w:val="18"/>
                              </w:rPr>
                            </w:pPr>
                            <w:r>
                              <w:rPr>
                                <w:rFonts w:ascii="Trebuchet MS" w:hAnsi="Trebuchet MS"/>
                                <w:i/>
                                <w:color w:val="262626"/>
                                <w:sz w:val="18"/>
                              </w:rPr>
                              <w:t>Este recurso se actualizó por última vez el 23 de abril de 2020. Es posible que parte de la información aquí contenida haya sido modificada.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796636AB" id="_x0000_t202" coordsize="21600,21600" o:spt="202" path="m,l,21600r21600,l21600,xe">
                <v:stroke joinstyle="miter"/>
                <v:path gradientshapeok="t" o:connecttype="rect"/>
              </v:shapetype>
              <v:shape id="Text Box 2" o:spid="_x0000_s1026" type="#_x0000_t202" style="position:absolute;margin-left:118.8pt;margin-top:.25pt;width:383.25pt;height:38.4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" stroked="f">
                <v:textbox>
                  <w:txbxContent>
                    <w:p w14:paraId="01A1DEEA" w14:textId="77777777" w:rsidR="00E23991" w:rsidRPr="00A7383D" w:rsidRDefault="00B56DBC" w:rsidP="00353CCD">
                      <w:pPr>
                        <w:spacing w:line="276" w:lineRule="auto"/>
                        <w:rPr>
                          <w:rFonts w:ascii="Trebuchet MS" w:hAnsi="Trebuchet MS"/>
                          <w:i/>
                          <w:color w:val="262626"/>
                          <w:sz w:val="18"/>
                          <w:szCs w:val="18"/>
                        </w:rPr>
                      </w:pPr>
                      <w:r>
                        <w:rPr>
                          <w:rFonts w:ascii="Trebuchet MS" w:hAnsi="Trebuchet MS"/>
                          <w:i/>
                          <w:color w:val="262626"/>
                          <w:sz w:val="18"/>
                        </w:rPr>
                        <w:t>Este recurso se actualizó por última vez el 23 de abril de 2020. Es posible que parte de la información aquí contenida haya sido modificada.</w:t>
                      </w:r>
                    </w:p>
                  </w:txbxContent>
                </v:textbox>
                <w10:wrap type="topAndBottom" anchorx="margin"/>
              </v:shape>
            </w:pict>
          </mc:Fallback>
        </mc:AlternateContent>
      </w:r>
      <w:r w:rsidR="00B56DBC" w:rsidRPr="00B40612">
        <w:rPr>
          <w:rFonts w:ascii="Trebuchet MS" w:hAnsi="Trebuchet MS"/>
          <w:b/>
          <w:color w:val="4472C4"/>
          <w:sz w:val="24"/>
          <w:lang w:val="es-PY"/>
        </w:rPr>
        <w:t>1. Los alumnos pueden obtener comidas gratis:</w:t>
      </w:r>
      <w:r w:rsidR="00B56DBC" w:rsidRPr="00B40612">
        <w:rPr>
          <w:rFonts w:ascii="Trebuchet MS" w:hAnsi="Trebuchet MS"/>
          <w:color w:val="4472C4"/>
          <w:sz w:val="24"/>
          <w:lang w:val="es-PY"/>
        </w:rPr>
        <w:t xml:space="preserve"> </w:t>
      </w:r>
      <w:r w:rsidR="00B56DBC" w:rsidRPr="00B40612">
        <w:rPr>
          <w:rFonts w:ascii="Trebuchet MS" w:hAnsi="Trebuchet MS"/>
          <w:color w:val="1F3864"/>
          <w:sz w:val="24"/>
          <w:lang w:val="es-PY"/>
        </w:rPr>
        <w:t>Muchas escuelas, ciudades y bancos de alimentos están ofreciendo desayunos y almuerzos para llevar. Los lugares y las horas de reparto pueden cambiar; por lo tanto, le recomendamos que revise a menudo esa información para estar al tanto de los cambios. Llame a su escuela o a un banco de alimentos local, o busque la información en línea.</w:t>
      </w:r>
    </w:p>
    <w:p w14:paraId="31157071" w14:textId="77777777" w:rsidR="00E2484F" w:rsidRPr="00B40612" w:rsidRDefault="00B56DBC" w:rsidP="002E48B4">
      <w:pPr>
        <w:spacing w:line="276" w:lineRule="auto"/>
        <w:rPr>
          <w:rFonts w:ascii="Trebuchet MS" w:hAnsi="Trebuchet MS"/>
          <w:b/>
          <w:bCs/>
          <w:color w:val="4472C4"/>
          <w:sz w:val="24"/>
          <w:szCs w:val="24"/>
          <w:lang w:val="es-PY"/>
        </w:rPr>
      </w:pPr>
      <w:r w:rsidRPr="00B40612">
        <w:rPr>
          <w:rFonts w:ascii="Trebuchet MS" w:hAnsi="Trebuchet MS"/>
          <w:b/>
          <w:color w:val="4472C4"/>
          <w:sz w:val="24"/>
          <w:lang w:val="es-PY"/>
        </w:rPr>
        <w:t>2. Debe recibir servicios de traducción e interpretación</w:t>
      </w:r>
      <w:r w:rsidRPr="00B40612">
        <w:rPr>
          <w:rFonts w:ascii="Trebuchet MS" w:hAnsi="Trebuchet MS"/>
          <w:color w:val="4472C4"/>
          <w:sz w:val="24"/>
          <w:lang w:val="es-PY"/>
        </w:rPr>
        <w:t xml:space="preserve">: </w:t>
      </w:r>
      <w:r w:rsidRPr="00B40612">
        <w:rPr>
          <w:rFonts w:ascii="Trebuchet MS" w:hAnsi="Trebuchet MS"/>
          <w:color w:val="002060"/>
          <w:sz w:val="24"/>
          <w:lang w:val="es-PY"/>
        </w:rPr>
        <w:t>Durante el cierre de las escuelas, su escuela debe comunicarse con usted y brindarle información en el idioma que usted prefiera. Si solo recibe información en inglés, hágale saber a su escuela en qué idioma y de qué manera debe enviarle la información.</w:t>
      </w:r>
    </w:p>
    <w:p w14:paraId="1E87670F" w14:textId="77777777" w:rsidR="00154253" w:rsidRPr="00B40612" w:rsidRDefault="00B56DBC" w:rsidP="00F30F68">
      <w:pPr>
        <w:spacing w:line="276" w:lineRule="auto"/>
        <w:rPr>
          <w:rFonts w:ascii="Trebuchet MS" w:hAnsi="Trebuchet MS"/>
          <w:color w:val="002060"/>
          <w:sz w:val="24"/>
          <w:szCs w:val="24"/>
          <w:lang w:val="es-PY"/>
        </w:rPr>
      </w:pPr>
      <w:r w:rsidRPr="00B40612">
        <w:rPr>
          <w:rFonts w:ascii="Trebuchet MS" w:hAnsi="Trebuchet MS"/>
          <w:b/>
          <w:color w:val="4472C4"/>
          <w:sz w:val="24"/>
          <w:lang w:val="es-PY"/>
        </w:rPr>
        <w:t xml:space="preserve">3. Los alumnos tienen derecho a recibir clases de </w:t>
      </w:r>
      <w:r w:rsidRPr="00B40612">
        <w:rPr>
          <w:rFonts w:ascii="Trebuchet MS" w:hAnsi="Trebuchet MS" w:cs="Trebuchet MS"/>
          <w:b/>
          <w:color w:val="4472C4"/>
          <w:sz w:val="24"/>
          <w:rtl/>
          <w:cs/>
          <w:lang w:val="es-PY"/>
        </w:rPr>
        <w:t>“</w:t>
      </w:r>
      <w:r w:rsidRPr="00B40612">
        <w:rPr>
          <w:rFonts w:ascii="Trebuchet MS" w:hAnsi="Trebuchet MS"/>
          <w:b/>
          <w:color w:val="4472C4"/>
          <w:sz w:val="24"/>
          <w:lang w:val="es-PY"/>
        </w:rPr>
        <w:t>ESL</w:t>
      </w:r>
      <w:r w:rsidRPr="00B40612">
        <w:rPr>
          <w:rFonts w:ascii="Trebuchet MS" w:hAnsi="Trebuchet MS" w:cs="Trebuchet MS"/>
          <w:b/>
          <w:color w:val="4472C4"/>
          <w:sz w:val="24"/>
          <w:rtl/>
          <w:cs/>
          <w:lang w:val="es-PY"/>
        </w:rPr>
        <w:t xml:space="preserve">” </w:t>
      </w:r>
      <w:r w:rsidRPr="00B40612">
        <w:rPr>
          <w:rFonts w:ascii="Trebuchet MS" w:hAnsi="Trebuchet MS"/>
          <w:b/>
          <w:color w:val="4472C4"/>
          <w:sz w:val="24"/>
          <w:lang w:val="es-PY"/>
        </w:rPr>
        <w:t xml:space="preserve">(inglés como segundo idioma) o lenguaje: </w:t>
      </w:r>
      <w:r w:rsidRPr="00B40612">
        <w:rPr>
          <w:rFonts w:ascii="Trebuchet MS" w:hAnsi="Trebuchet MS"/>
          <w:color w:val="002060"/>
          <w:sz w:val="24"/>
          <w:lang w:val="es-PY"/>
        </w:rPr>
        <w:t>Los alumnos que están aprendiendo inglés deben recibir apoyo de maestros de ESL y clases de lenguaje para entender y participar en las asignaturas. Si su hijo necesita ayuda con la instrucción o las asignaciones, pida un maestro de ESL.</w:t>
      </w:r>
    </w:p>
    <w:p w14:paraId="4B897347" w14:textId="1D05331B" w:rsidR="003469F2" w:rsidRPr="00B40612" w:rsidRDefault="00B56DBC" w:rsidP="003949D4">
      <w:pPr>
        <w:spacing w:line="276" w:lineRule="auto"/>
        <w:rPr>
          <w:rFonts w:ascii="Trebuchet MS" w:hAnsi="Trebuchet MS"/>
          <w:b/>
          <w:bCs/>
          <w:color w:val="4472C4"/>
          <w:sz w:val="24"/>
          <w:szCs w:val="24"/>
          <w:lang w:val="es-PY"/>
        </w:rPr>
      </w:pPr>
      <w:r w:rsidRPr="00B40612">
        <w:rPr>
          <w:rFonts w:ascii="Trebuchet MS" w:hAnsi="Trebuchet MS"/>
          <w:b/>
          <w:color w:val="4472C4"/>
          <w:sz w:val="24"/>
          <w:lang w:val="es-PY"/>
        </w:rPr>
        <w:t xml:space="preserve">4. Las escuelas pueden ayudar con el aprendizaje en línea: </w:t>
      </w:r>
      <w:r w:rsidRPr="00B40612">
        <w:rPr>
          <w:rFonts w:ascii="Trebuchet MS" w:hAnsi="Trebuchet MS"/>
          <w:color w:val="002060"/>
          <w:sz w:val="24"/>
          <w:lang w:val="es-PY"/>
        </w:rPr>
        <w:t>Si su escuela está ofreciendo aprendizaje en línea, usted puede pedir ayuda con el acceso a Internet o para que le presten una computadora. Las escuelas también pueden explicarle las instrucciones para participar en el proceso de aprendizaje en línea, inclusive cómo usar los servicios de traducción y recursos de ESL.</w:t>
      </w:r>
    </w:p>
    <w:p w14:paraId="23176BAF" w14:textId="77777777" w:rsidR="0049015F" w:rsidRDefault="00B56DBC" w:rsidP="0049015F">
      <w:pPr>
        <w:spacing w:line="276" w:lineRule="auto"/>
        <w:rPr>
          <w:rFonts w:ascii="Trebuchet MS" w:hAnsi="Trebuchet MS"/>
          <w:color w:val="002060"/>
          <w:sz w:val="24"/>
          <w:lang w:val="es-PY"/>
        </w:rPr>
      </w:pPr>
      <w:r w:rsidRPr="00B40612">
        <w:rPr>
          <w:rFonts w:ascii="Trebuchet MS" w:hAnsi="Trebuchet MS"/>
          <w:b/>
          <w:color w:val="4472C4"/>
          <w:sz w:val="24"/>
          <w:lang w:val="es-PY"/>
        </w:rPr>
        <w:t>5. Las escuelas deben apoyar a los alumnos con discapacidades</w:t>
      </w:r>
      <w:r w:rsidRPr="00B40612">
        <w:rPr>
          <w:rFonts w:ascii="Trebuchet MS" w:hAnsi="Trebuchet MS"/>
          <w:color w:val="4472C4"/>
          <w:sz w:val="24"/>
          <w:lang w:val="es-PY"/>
        </w:rPr>
        <w:t xml:space="preserve">: </w:t>
      </w:r>
      <w:r w:rsidRPr="00B40612">
        <w:rPr>
          <w:rFonts w:ascii="Trebuchet MS" w:hAnsi="Trebuchet MS"/>
          <w:color w:val="002060"/>
          <w:sz w:val="24"/>
          <w:lang w:val="es-PY"/>
        </w:rPr>
        <w:t xml:space="preserve">Si su alumno tiene una discapacidad, la escuela debe hablar con usted sobre los servicios de educación especial de su hijo en el idioma que usted prefiera. Eso incluye los apoyos que su hijo recibirá y los cambios que se implementarán temporalmente mientras las escuelas estén cerradas. Si su escuela no puede proporcionarle ciertos servicios, su hijo podrá recibirlos cuando la escuela vuelva a funcionar. </w:t>
      </w:r>
    </w:p>
    <w:p w14:paraId="5389832B" w14:textId="780CEE1B" w:rsidR="00D14DD5" w:rsidRPr="0049015F" w:rsidRDefault="00B56DBC" w:rsidP="0049015F">
      <w:pPr>
        <w:spacing w:line="276" w:lineRule="auto"/>
        <w:rPr>
          <w:rStyle w:val="eop"/>
          <w:rFonts w:cs="Segoe UI"/>
          <w:b/>
          <w:bCs/>
          <w:color w:val="262626"/>
          <w:sz w:val="18"/>
          <w:szCs w:val="18"/>
          <w:shd w:val="clear" w:color="000000" w:fill="auto"/>
          <w:lang w:val="es-PY"/>
        </w:rPr>
      </w:pPr>
      <w:r w:rsidRPr="00B40612">
        <w:rPr>
          <w:lang w:val="es-PY"/>
        </w:rPr>
        <w:br/>
      </w:r>
      <w:r w:rsidRPr="00B40612">
        <w:rPr>
          <w:rStyle w:val="normaltextrun"/>
          <w:b/>
          <w:color w:val="262626"/>
          <w:sz w:val="18"/>
          <w:lang w:val="es-PY"/>
        </w:rPr>
        <w:t>El Education Law Center-PA (Centro de Derechos Educativos de Pensilvania o ELC, por sus siglas en inglés) es una organización de defensoría legal sin fines de lucro, con oficinas en Filadelfia y Pittsburgh, que se dedica a garantizar que todos los niños de Pensilvania tengan acceso a una educación pública de calidad. </w:t>
      </w:r>
    </w:p>
    <w:p w14:paraId="26FD4589" w14:textId="174880AE" w:rsidR="00D14DD5" w:rsidRPr="0049015F" w:rsidRDefault="00B56DBC" w:rsidP="00A7383D">
      <w:pPr>
        <w:pStyle w:val="paragraph"/>
        <w:shd w:val="clear" w:color="auto" w:fill="FFFFFF"/>
        <w:spacing w:before="0" w:beforeAutospacing="0" w:after="120" w:afterAutospacing="0"/>
        <w:textAlignment w:val="baseline"/>
        <w:rPr>
          <w:rFonts w:cs="Segoe UI"/>
          <w:color w:val="262626"/>
          <w:sz w:val="18"/>
          <w:szCs w:val="18"/>
          <w:shd w:val="clear" w:color="000000" w:fill="auto"/>
          <w:lang w:val="es-PY"/>
        </w:rPr>
      </w:pPr>
      <w:r w:rsidRPr="00B40612">
        <w:rPr>
          <w:rStyle w:val="normaltextrun"/>
          <w:color w:val="262626"/>
          <w:sz w:val="18"/>
          <w:lang w:val="es-PY"/>
        </w:rPr>
        <w:t>Las publicaciones del ELC presentan declaraciones generales acerca de la legislación. Sin embargo, cada situación es diferente, y las pautas</w:t>
      </w:r>
      <w:r w:rsidR="0049015F">
        <w:rPr>
          <w:rStyle w:val="normaltextrun"/>
          <w:color w:val="262626"/>
          <w:sz w:val="18"/>
          <w:lang w:val="es-PY"/>
        </w:rPr>
        <w:t xml:space="preserve"> </w:t>
      </w:r>
      <w:r w:rsidRPr="00B40612">
        <w:rPr>
          <w:rStyle w:val="normaltextrun"/>
          <w:color w:val="262626"/>
          <w:sz w:val="18"/>
          <w:lang w:val="es-PY"/>
        </w:rPr>
        <w:t xml:space="preserve">estatales y federales sobre estos temas cambian continuamente. </w:t>
      </w:r>
      <w:r w:rsidRPr="00B40612">
        <w:rPr>
          <w:color w:val="262626"/>
          <w:spacing w:val="-4"/>
          <w:sz w:val="18"/>
          <w:lang w:val="es-PY"/>
        </w:rPr>
        <w:t>Si tiene preguntas o inquietudes, no dude en comunicarse con nuestra línea de ayuda por el 215-238-6970 (este y centro de Pensilvania) o 412-258-2120 (oeste de Pensilvania).</w:t>
      </w:r>
    </w:p>
    <w:sectPr w:rsidR="00D14DD5" w:rsidRPr="0049015F" w:rsidSect="00A7383D">
      <w:headerReference w:type="default" r:id="rId12"/>
      <w:footerReference w:type="default" r:id="rId13"/>
      <w:pgSz w:w="12240" w:h="15840"/>
      <w:pgMar w:top="1440" w:right="1152" w:bottom="1440" w:left="1440" w:header="720" w:footer="720" w:gutter="0"/>
      <w:pgBorders w:offsetFrom="page">
        <w:top w:val="single" w:sz="36" w:space="24" w:color="4472C4"/>
        <w:left w:val="single" w:sz="36" w:space="24" w:color="4472C4"/>
        <w:bottom w:val="single" w:sz="36" w:space="24" w:color="4472C4"/>
        <w:right w:val="single" w:sz="36" w:space="24" w:color="4472C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A09B6" w14:textId="77777777" w:rsidR="00A6487D" w:rsidRDefault="00A6487D" w:rsidP="00F30F68">
      <w:pPr>
        <w:spacing w:after="0" w:line="240" w:lineRule="auto"/>
      </w:pPr>
      <w:r>
        <w:separator/>
      </w:r>
    </w:p>
  </w:endnote>
  <w:endnote w:type="continuationSeparator" w:id="0">
    <w:p w14:paraId="5435DFFC" w14:textId="77777777" w:rsidR="00A6487D" w:rsidRDefault="00A6487D" w:rsidP="00F30F68">
      <w:pPr>
        <w:spacing w:after="0" w:line="240" w:lineRule="auto"/>
      </w:pPr>
      <w:r>
        <w:continuationSeparator/>
      </w:r>
    </w:p>
  </w:endnote>
  <w:endnote w:type="continuationNotice" w:id="1">
    <w:p w14:paraId="47034D62" w14:textId="77777777" w:rsidR="00A6487D" w:rsidRDefault="00A648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24D04" w14:textId="77777777" w:rsidR="00E23991" w:rsidRPr="00786354" w:rsidRDefault="00B56DBC" w:rsidP="00786354">
    <w:pPr>
      <w:pStyle w:val="Footer"/>
      <w:jc w:val="center"/>
      <w:rPr>
        <w:rFonts w:ascii="Trebuchet MS" w:hAnsi="Trebuchet MS"/>
        <w:sz w:val="20"/>
        <w:szCs w:val="20"/>
      </w:rPr>
    </w:pPr>
    <w:r>
      <w:rPr>
        <w:rFonts w:ascii="Trebuchet MS" w:hAnsi="Trebuchet MS"/>
        <w:sz w:val="20"/>
      </w:rPr>
      <w:t xml:space="preserve">Education Law Center  |  </w:t>
    </w:r>
    <w:hyperlink r:id="rId1" w:history="1">
      <w:r>
        <w:rPr>
          <w:rStyle w:val="Hyperlink"/>
          <w:rFonts w:ascii="Trebuchet MS" w:hAnsi="Trebuchet MS"/>
          <w:sz w:val="20"/>
        </w:rPr>
        <w:t>www.elc-pa.org</w:t>
      </w:r>
    </w:hyperlink>
    <w:r>
      <w:rPr>
        <w:rFonts w:ascii="Trebuchet MS" w:hAnsi="Trebuchet MS"/>
        <w:sz w:val="20"/>
      </w:rPr>
      <w:t xml:space="preserve">  |  facebook.com/educationlawcenter  |  @edlawcenterpa</w:t>
    </w:r>
  </w:p>
  <w:p w14:paraId="4C3180BF" w14:textId="77777777" w:rsidR="00E23991" w:rsidRDefault="00E54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AB78A" w14:textId="77777777" w:rsidR="00A6487D" w:rsidRDefault="00A6487D" w:rsidP="00F30F68">
      <w:pPr>
        <w:spacing w:after="0" w:line="240" w:lineRule="auto"/>
      </w:pPr>
      <w:r>
        <w:separator/>
      </w:r>
    </w:p>
  </w:footnote>
  <w:footnote w:type="continuationSeparator" w:id="0">
    <w:p w14:paraId="74402180" w14:textId="77777777" w:rsidR="00A6487D" w:rsidRDefault="00A6487D" w:rsidP="00F30F68">
      <w:pPr>
        <w:spacing w:after="0" w:line="240" w:lineRule="auto"/>
      </w:pPr>
      <w:r>
        <w:continuationSeparator/>
      </w:r>
    </w:p>
  </w:footnote>
  <w:footnote w:type="continuationNotice" w:id="1">
    <w:p w14:paraId="7A9447DC" w14:textId="77777777" w:rsidR="00A6487D" w:rsidRDefault="00A648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04622" w14:textId="77777777" w:rsidR="00E23991" w:rsidRPr="00687607" w:rsidRDefault="00E54609" w:rsidP="00EE1F3B">
    <w:pPr>
      <w:spacing w:line="276" w:lineRule="auto"/>
      <w:ind w:left="720" w:firstLine="720"/>
      <w:jc w:val="center"/>
      <w:rPr>
        <w:rFonts w:ascii="Trebuchet MS" w:hAnsi="Trebuchet MS"/>
        <w:b/>
        <w:bCs/>
        <w:color w:val="0070C0"/>
        <w:sz w:val="56"/>
        <w:szCs w:val="56"/>
        <w:u w:val="single"/>
      </w:rPr>
    </w:pPr>
  </w:p>
  <w:p w14:paraId="0E3982B2" w14:textId="3757B769" w:rsidR="00E23991" w:rsidRPr="00455F03" w:rsidRDefault="00B56DBC" w:rsidP="00AC7AF2">
    <w:pPr>
      <w:spacing w:line="276" w:lineRule="auto"/>
      <w:ind w:left="2160" w:firstLine="720"/>
      <w:jc w:val="right"/>
      <w:rPr>
        <w:rFonts w:ascii="Trebuchet MS" w:hAnsi="Trebuchet MS"/>
        <w:b/>
        <w:color w:val="0070C0"/>
        <w:spacing w:val="-8"/>
        <w:sz w:val="44"/>
        <w:szCs w:val="44"/>
        <w:u w:val="single"/>
      </w:rPr>
    </w:pPr>
    <w:r w:rsidRPr="00455F03">
      <w:rPr>
        <w:rFonts w:ascii="Trebuchet MS" w:hAnsi="Trebuchet MS"/>
        <w:b/>
        <w:color w:val="0070C0"/>
        <w:spacing w:val="-8"/>
        <w:sz w:val="44"/>
        <w:szCs w:val="18"/>
        <w:u w:val="single"/>
      </w:rPr>
      <w:t>El cierre de las escuelas por el COVID-19</w:t>
    </w:r>
    <w:r w:rsidR="00B40612" w:rsidRPr="00455F03">
      <w:rPr>
        <w:rFonts w:ascii="Trebuchet MS" w:hAnsi="Trebuchet MS"/>
        <w:b/>
        <w:color w:val="0070C0"/>
        <w:spacing w:val="-8"/>
        <w:sz w:val="44"/>
        <w:szCs w:val="18"/>
        <w:u w:val="single"/>
      </w:rPr>
      <w:t xml:space="preserve"> </w:t>
    </w:r>
    <w:r w:rsidRPr="00455F03">
      <w:rPr>
        <w:rFonts w:ascii="Trebuchet MS" w:hAnsi="Trebuchet MS"/>
        <w:b/>
        <w:color w:val="0070C0"/>
        <w:spacing w:val="-8"/>
        <w:sz w:val="44"/>
        <w:szCs w:val="18"/>
        <w:u w:val="single"/>
      </w:rPr>
      <w:t>y los estudiantes de inglés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BD06AA"/>
    <w:multiLevelType w:val="hybridMultilevel"/>
    <w:tmpl w:val="A3546110"/>
    <w:lvl w:ilvl="0" w:tplc="4F6A0BB4">
      <w:start w:val="1"/>
      <w:numFmt w:val="decimal"/>
      <w:lvlText w:val="%1."/>
      <w:lvlJc w:val="left"/>
      <w:pPr>
        <w:ind w:left="720" w:hanging="360"/>
      </w:pPr>
      <w:rPr>
        <w:rFonts w:hint="default"/>
      </w:rPr>
    </w:lvl>
    <w:lvl w:ilvl="1" w:tplc="3E20C6AC">
      <w:start w:val="1"/>
      <w:numFmt w:val="bullet"/>
      <w:lvlText w:val=""/>
      <w:lvlJc w:val="left"/>
      <w:pPr>
        <w:ind w:left="1440" w:hanging="360"/>
      </w:pPr>
      <w:rPr>
        <w:rFonts w:ascii="Wingdings" w:hAnsi="Wingdings" w:hint="default"/>
      </w:rPr>
    </w:lvl>
    <w:lvl w:ilvl="2" w:tplc="48F66366" w:tentative="1">
      <w:start w:val="1"/>
      <w:numFmt w:val="lowerRoman"/>
      <w:lvlText w:val="%3."/>
      <w:lvlJc w:val="right"/>
      <w:pPr>
        <w:ind w:left="2160" w:hanging="180"/>
      </w:pPr>
    </w:lvl>
    <w:lvl w:ilvl="3" w:tplc="D188DA70" w:tentative="1">
      <w:start w:val="1"/>
      <w:numFmt w:val="decimal"/>
      <w:lvlText w:val="%4."/>
      <w:lvlJc w:val="left"/>
      <w:pPr>
        <w:ind w:left="2880" w:hanging="360"/>
      </w:pPr>
    </w:lvl>
    <w:lvl w:ilvl="4" w:tplc="B2529190" w:tentative="1">
      <w:start w:val="1"/>
      <w:numFmt w:val="lowerLetter"/>
      <w:lvlText w:val="%5."/>
      <w:lvlJc w:val="left"/>
      <w:pPr>
        <w:ind w:left="3600" w:hanging="360"/>
      </w:pPr>
    </w:lvl>
    <w:lvl w:ilvl="5" w:tplc="D980825C" w:tentative="1">
      <w:start w:val="1"/>
      <w:numFmt w:val="lowerRoman"/>
      <w:lvlText w:val="%6."/>
      <w:lvlJc w:val="right"/>
      <w:pPr>
        <w:ind w:left="4320" w:hanging="180"/>
      </w:pPr>
    </w:lvl>
    <w:lvl w:ilvl="6" w:tplc="97DECC60" w:tentative="1">
      <w:start w:val="1"/>
      <w:numFmt w:val="decimal"/>
      <w:lvlText w:val="%7."/>
      <w:lvlJc w:val="left"/>
      <w:pPr>
        <w:ind w:left="5040" w:hanging="360"/>
      </w:pPr>
    </w:lvl>
    <w:lvl w:ilvl="7" w:tplc="2DCA0E92" w:tentative="1">
      <w:start w:val="1"/>
      <w:numFmt w:val="lowerLetter"/>
      <w:lvlText w:val="%8."/>
      <w:lvlJc w:val="left"/>
      <w:pPr>
        <w:ind w:left="5760" w:hanging="360"/>
      </w:pPr>
    </w:lvl>
    <w:lvl w:ilvl="8" w:tplc="7AF80F2A"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D8B"/>
    <w:rsid w:val="001E4DDD"/>
    <w:rsid w:val="003949D4"/>
    <w:rsid w:val="00404E05"/>
    <w:rsid w:val="00455F03"/>
    <w:rsid w:val="0049015F"/>
    <w:rsid w:val="00A6487D"/>
    <w:rsid w:val="00B40612"/>
    <w:rsid w:val="00B56DBC"/>
    <w:rsid w:val="00E54609"/>
    <w:rsid w:val="00EE4F74"/>
    <w:rsid w:val="00F14D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ABAF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MX"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0F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F68"/>
  </w:style>
  <w:style w:type="paragraph" w:styleId="Footer">
    <w:name w:val="footer"/>
    <w:basedOn w:val="Normal"/>
    <w:link w:val="FooterChar"/>
    <w:uiPriority w:val="99"/>
    <w:unhideWhenUsed/>
    <w:rsid w:val="00F30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F68"/>
  </w:style>
  <w:style w:type="character" w:styleId="CommentReference">
    <w:name w:val="annotation reference"/>
    <w:uiPriority w:val="99"/>
    <w:semiHidden/>
    <w:unhideWhenUsed/>
    <w:rsid w:val="00F30F68"/>
    <w:rPr>
      <w:sz w:val="16"/>
      <w:szCs w:val="16"/>
      <w:lang w:val="es-MX" w:eastAsia="es-MX"/>
    </w:rPr>
  </w:style>
  <w:style w:type="paragraph" w:styleId="CommentText">
    <w:name w:val="annotation text"/>
    <w:basedOn w:val="Normal"/>
    <w:link w:val="CommentTextChar"/>
    <w:uiPriority w:val="99"/>
    <w:unhideWhenUsed/>
    <w:rsid w:val="00F30F68"/>
    <w:pPr>
      <w:spacing w:line="240" w:lineRule="auto"/>
    </w:pPr>
    <w:rPr>
      <w:sz w:val="20"/>
      <w:szCs w:val="20"/>
    </w:rPr>
  </w:style>
  <w:style w:type="character" w:customStyle="1" w:styleId="CommentTextChar">
    <w:name w:val="Comment Text Char"/>
    <w:link w:val="CommentText"/>
    <w:uiPriority w:val="99"/>
    <w:rsid w:val="00F30F68"/>
    <w:rPr>
      <w:sz w:val="20"/>
      <w:szCs w:val="20"/>
      <w:lang w:val="es-MX" w:eastAsia="es-MX"/>
    </w:rPr>
  </w:style>
  <w:style w:type="paragraph" w:styleId="CommentSubject">
    <w:name w:val="annotation subject"/>
    <w:basedOn w:val="CommentText"/>
    <w:next w:val="CommentText"/>
    <w:link w:val="CommentSubjectChar"/>
    <w:uiPriority w:val="99"/>
    <w:semiHidden/>
    <w:unhideWhenUsed/>
    <w:rsid w:val="00F30F68"/>
    <w:rPr>
      <w:b/>
      <w:bCs/>
    </w:rPr>
  </w:style>
  <w:style w:type="character" w:customStyle="1" w:styleId="CommentSubjectChar">
    <w:name w:val="Comment Subject Char"/>
    <w:link w:val="CommentSubject"/>
    <w:uiPriority w:val="99"/>
    <w:semiHidden/>
    <w:rsid w:val="00F30F68"/>
    <w:rPr>
      <w:b/>
      <w:bCs/>
      <w:sz w:val="20"/>
      <w:szCs w:val="20"/>
      <w:lang w:val="es-MX" w:eastAsia="es-MX"/>
    </w:rPr>
  </w:style>
  <w:style w:type="paragraph" w:styleId="BalloonText">
    <w:name w:val="Balloon Text"/>
    <w:basedOn w:val="Normal"/>
    <w:link w:val="BalloonTextChar"/>
    <w:uiPriority w:val="99"/>
    <w:semiHidden/>
    <w:unhideWhenUsed/>
    <w:rsid w:val="00F30F6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30F68"/>
    <w:rPr>
      <w:rFonts w:ascii="Segoe UI" w:hAnsi="Segoe UI" w:cs="Segoe UI"/>
      <w:sz w:val="18"/>
      <w:szCs w:val="18"/>
      <w:lang w:val="es-MX" w:eastAsia="es-MX"/>
    </w:rPr>
  </w:style>
  <w:style w:type="paragraph" w:styleId="ListParagraph">
    <w:name w:val="List Paragraph"/>
    <w:basedOn w:val="Normal"/>
    <w:uiPriority w:val="34"/>
    <w:qFormat/>
    <w:rsid w:val="002E48B4"/>
    <w:pPr>
      <w:ind w:left="720"/>
      <w:contextualSpacing/>
    </w:pPr>
  </w:style>
  <w:style w:type="paragraph" w:customStyle="1" w:styleId="paragraph">
    <w:name w:val="paragraph"/>
    <w:basedOn w:val="Normal"/>
    <w:rsid w:val="00D14DD5"/>
    <w:pPr>
      <w:spacing w:before="100" w:beforeAutospacing="1" w:after="100" w:afterAutospacing="1" w:line="240" w:lineRule="auto"/>
    </w:pPr>
    <w:rPr>
      <w:rFonts w:eastAsia="Times New Roman" w:cs="Calibri"/>
    </w:rPr>
  </w:style>
  <w:style w:type="character" w:customStyle="1" w:styleId="normaltextrun">
    <w:name w:val="normaltextrun"/>
    <w:basedOn w:val="DefaultParagraphFont"/>
    <w:rsid w:val="00D14DD5"/>
  </w:style>
  <w:style w:type="character" w:customStyle="1" w:styleId="eop">
    <w:name w:val="eop"/>
    <w:basedOn w:val="DefaultParagraphFont"/>
    <w:rsid w:val="00D14DD5"/>
  </w:style>
  <w:style w:type="character" w:styleId="Hyperlink">
    <w:name w:val="Hyperlink"/>
    <w:uiPriority w:val="99"/>
    <w:unhideWhenUsed/>
    <w:rsid w:val="00786354"/>
    <w:rPr>
      <w:color w:val="0563C1"/>
      <w:u w:val="single"/>
      <w:lang w:val="es-MX" w:eastAsia="es-MX"/>
    </w:rPr>
  </w:style>
  <w:style w:type="character" w:customStyle="1" w:styleId="UnresolvedMention1">
    <w:name w:val="Unresolved Mention1"/>
    <w:uiPriority w:val="99"/>
    <w:unhideWhenUsed/>
    <w:rsid w:val="00A7302C"/>
    <w:rPr>
      <w:color w:val="605E5C"/>
      <w:lang w:val="es-MX" w:eastAsia="es-MX"/>
    </w:rPr>
  </w:style>
  <w:style w:type="character" w:styleId="FollowedHyperlink">
    <w:name w:val="FollowedHyperlink"/>
    <w:uiPriority w:val="99"/>
    <w:semiHidden/>
    <w:unhideWhenUsed/>
    <w:rsid w:val="004B6E09"/>
    <w:rPr>
      <w:color w:val="954F72"/>
      <w:u w:val="single"/>
      <w:lang w:val="es-MX" w:eastAsia="es-MX"/>
    </w:rPr>
  </w:style>
  <w:style w:type="character" w:customStyle="1" w:styleId="Mention1">
    <w:name w:val="Mention1"/>
    <w:uiPriority w:val="99"/>
    <w:unhideWhenUsed/>
    <w:rPr>
      <w:color w:val="2B579A"/>
      <w:lang w:val="es-MX" w:eastAsia="es-MX"/>
    </w:rPr>
  </w:style>
  <w:style w:type="paragraph" w:styleId="Revision">
    <w:name w:val="Revision"/>
    <w:hidden/>
    <w:uiPriority w:val="99"/>
    <w:semiHidden/>
    <w:rsid w:val="00604CBE"/>
    <w:rPr>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lc-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2ADAADDE8FFA4082881714918F3594" ma:contentTypeVersion="13" ma:contentTypeDescription="Create a new document." ma:contentTypeScope="" ma:versionID="47886f12f875882ababf9ddc711f78f0">
  <xsd:schema xmlns:xsd="http://www.w3.org/2001/XMLSchema" xmlns:xs="http://www.w3.org/2001/XMLSchema" xmlns:p="http://schemas.microsoft.com/office/2006/metadata/properties" xmlns:ns3="d14822a4-bc9c-48e1-93a6-629d7b2852da" xmlns:ns4="a368bec4-2c36-4263-83bf-1694ef33f23a" targetNamespace="http://schemas.microsoft.com/office/2006/metadata/properties" ma:root="true" ma:fieldsID="5d3d8989eb5316e9bcdeeba17853ff43" ns3:_="" ns4:_="">
    <xsd:import namespace="d14822a4-bc9c-48e1-93a6-629d7b2852da"/>
    <xsd:import namespace="a368bec4-2c36-4263-83bf-1694ef33f23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822a4-bc9c-48e1-93a6-629d7b285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8bec4-2c36-4263-83bf-1694ef33f23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C0A2E-6D9A-4F19-BC43-D7653DEE9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822a4-bc9c-48e1-93a6-629d7b2852da"/>
    <ds:schemaRef ds:uri="a368bec4-2c36-4263-83bf-1694ef33f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7E30A8-8551-435F-B5BD-7C29D76358BA}">
  <ds:schemaRefs>
    <ds:schemaRef ds:uri="http://schemas.microsoft.com/sharepoint/v3/contenttype/forms"/>
  </ds:schemaRefs>
</ds:datastoreItem>
</file>

<file path=customXml/itemProps3.xml><?xml version="1.0" encoding="utf-8"?>
<ds:datastoreItem xmlns:ds="http://schemas.openxmlformats.org/officeDocument/2006/customXml" ds:itemID="{E533A790-E28F-46F0-9DA5-989B385DDE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E45E09-E2C0-4AE9-BD7E-AA04F6138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2165</Characters>
  <Application>Microsoft Office Word</Application>
  <DocSecurity>4</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2573</CharactersWithSpaces>
  <SharedDoc>false</SharedDoc>
  <HLinks>
    <vt:vector size="6" baseType="variant">
      <vt:variant>
        <vt:i4>3014776</vt:i4>
      </vt:variant>
      <vt:variant>
        <vt:i4>0</vt:i4>
      </vt:variant>
      <vt:variant>
        <vt:i4>0</vt:i4>
      </vt:variant>
      <vt:variant>
        <vt:i4>5</vt:i4>
      </vt:variant>
      <vt:variant>
        <vt:lpwstr>http://www.elc-pa.org/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2020-05-15T16:08:00Z</dcterms:created>
  <dcterms:modified xsi:type="dcterms:W3CDTF">2020-05-15T16:08:00Z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0x0101000A2ADAADDE8FFA4082881714918F3594</vt:lpwstr>
  </property>
</Properties>
</file>